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0FD81">
      <w:pPr>
        <w:keepLines/>
        <w:spacing w:after="0" w:line="240" w:lineRule="auto"/>
        <w:rPr>
          <w:rFonts w:ascii="Times New Roman" w:hAnsi="Times New Roman" w:cs="Times New Roman"/>
          <w:sz w:val="22"/>
        </w:rPr>
      </w:pPr>
      <w:r>
        <w:rPr>
          <w:rFonts w:ascii="Times New Roman" w:hAnsi="Times New Roman" w:cs="Times New Roman"/>
          <w:b/>
          <w:sz w:val="22"/>
        </w:rPr>
        <w:t>COMUNA MEREȘTI</w:t>
      </w:r>
    </w:p>
    <w:p w14:paraId="248A1F0C">
      <w:pPr>
        <w:keepLines/>
        <w:spacing w:after="0" w:line="240" w:lineRule="auto"/>
        <w:rPr>
          <w:rFonts w:ascii="Times New Roman" w:hAnsi="Times New Roman" w:cs="Times New Roman"/>
          <w:sz w:val="22"/>
        </w:rPr>
      </w:pPr>
      <w:r>
        <w:rPr>
          <w:rFonts w:ascii="Times New Roman" w:hAnsi="Times New Roman" w:cs="Times New Roman"/>
          <w:sz w:val="22"/>
        </w:rPr>
        <w:t>Județul Harghita</w:t>
      </w:r>
    </w:p>
    <w:p w14:paraId="61D5D963">
      <w:pPr>
        <w:keepLines/>
        <w:spacing w:after="0" w:line="240" w:lineRule="auto"/>
        <w:rPr>
          <w:rFonts w:ascii="Times New Roman" w:hAnsi="Times New Roman" w:cs="Times New Roman"/>
          <w:sz w:val="22"/>
        </w:rPr>
      </w:pPr>
      <w:r>
        <w:rPr>
          <w:rFonts w:ascii="Times New Roman" w:hAnsi="Times New Roman" w:cs="Times New Roman"/>
          <w:sz w:val="22"/>
        </w:rPr>
        <w:t xml:space="preserve">Nr. </w:t>
      </w:r>
      <w:r>
        <w:rPr>
          <w:rFonts w:hint="default" w:ascii="Times New Roman" w:hAnsi="Times New Roman" w:cs="Times New Roman"/>
          <w:sz w:val="22"/>
          <w:lang w:val="ro-RO"/>
        </w:rPr>
        <w:t>467</w:t>
      </w:r>
      <w:r>
        <w:rPr>
          <w:rFonts w:ascii="Times New Roman" w:hAnsi="Times New Roman" w:cs="Times New Roman"/>
          <w:sz w:val="22"/>
        </w:rPr>
        <w:t xml:space="preserve"> </w:t>
      </w:r>
      <w:r>
        <w:rPr>
          <w:rFonts w:hint="default" w:ascii="Times New Roman" w:hAnsi="Times New Roman" w:cs="Times New Roman"/>
          <w:sz w:val="22"/>
          <w:lang w:val="ro-RO"/>
        </w:rPr>
        <w:t>/23</w:t>
      </w:r>
      <w:r>
        <w:rPr>
          <w:rFonts w:ascii="Times New Roman" w:hAnsi="Times New Roman" w:cs="Times New Roman"/>
          <w:sz w:val="22"/>
        </w:rPr>
        <w:t>.</w:t>
      </w:r>
      <w:r>
        <w:rPr>
          <w:rFonts w:hint="default" w:ascii="Times New Roman" w:hAnsi="Times New Roman" w:cs="Times New Roman"/>
          <w:sz w:val="22"/>
          <w:lang w:val="ro-RO"/>
        </w:rPr>
        <w:t>10</w:t>
      </w:r>
      <w:bookmarkStart w:id="0" w:name="_GoBack"/>
      <w:bookmarkEnd w:id="0"/>
      <w:r>
        <w:rPr>
          <w:rFonts w:ascii="Times New Roman" w:hAnsi="Times New Roman" w:cs="Times New Roman"/>
          <w:sz w:val="22"/>
        </w:rPr>
        <w:t>.2026</w:t>
      </w:r>
    </w:p>
    <w:p w14:paraId="738E05D0">
      <w:pPr>
        <w:keepLines/>
        <w:spacing w:after="0" w:line="240" w:lineRule="auto"/>
        <w:rPr>
          <w:rFonts w:ascii="Times New Roman" w:hAnsi="Times New Roman" w:cs="Times New Roman"/>
          <w:sz w:val="22"/>
        </w:rPr>
      </w:pPr>
    </w:p>
    <w:p w14:paraId="6401967C">
      <w:pPr>
        <w:keepLines/>
        <w:jc w:val="center"/>
        <w:rPr>
          <w:rFonts w:ascii="Times New Roman" w:hAnsi="Times New Roman" w:cs="Times New Roman"/>
          <w:sz w:val="22"/>
        </w:rPr>
      </w:pPr>
      <w:r>
        <w:rPr>
          <w:rFonts w:ascii="Times New Roman" w:hAnsi="Times New Roman" w:cs="Times New Roman"/>
          <w:b/>
          <w:sz w:val="22"/>
        </w:rPr>
        <w:t>RĂSPUNS CONSOLIDAT LA SOLICITAREA DE CLARIFICĂRI NR. 2</w:t>
      </w:r>
    </w:p>
    <w:p w14:paraId="2BF705FD">
      <w:pPr>
        <w:keepLines/>
        <w:jc w:val="center"/>
        <w:rPr>
          <w:rFonts w:ascii="Times New Roman" w:hAnsi="Times New Roman" w:cs="Times New Roman"/>
          <w:sz w:val="22"/>
        </w:rPr>
      </w:pPr>
      <w:r>
        <w:rPr>
          <w:rFonts w:ascii="Times New Roman" w:hAnsi="Times New Roman" w:cs="Times New Roman"/>
          <w:i/>
          <w:sz w:val="22"/>
        </w:rPr>
        <w:t>Procedura proprie pentru servicii de catering – pachet de sprijin alimentar pentru copiii vulnerabili din comuna Merești</w:t>
      </w:r>
    </w:p>
    <w:p w14:paraId="3EAD86D0">
      <w:pPr>
        <w:keepLines/>
        <w:rPr>
          <w:rFonts w:ascii="Times New Roman" w:hAnsi="Times New Roman" w:cs="Times New Roman"/>
          <w:sz w:val="22"/>
        </w:rPr>
      </w:pPr>
      <w:r>
        <w:rPr>
          <w:rFonts w:ascii="Times New Roman" w:hAnsi="Times New Roman" w:cs="Times New Roman"/>
          <w:b/>
          <w:sz w:val="22"/>
        </w:rPr>
        <w:t xml:space="preserve">Către: </w:t>
      </w:r>
      <w:r>
        <w:rPr>
          <w:rFonts w:ascii="Times New Roman" w:hAnsi="Times New Roman" w:cs="Times New Roman"/>
          <w:sz w:val="22"/>
        </w:rPr>
        <w:t>operatorii economici interesați de procedura de atribuire</w:t>
      </w:r>
    </w:p>
    <w:p w14:paraId="2219B37B">
      <w:pPr>
        <w:keepLines/>
        <w:rPr>
          <w:rFonts w:ascii="Times New Roman" w:hAnsi="Times New Roman" w:cs="Times New Roman"/>
          <w:sz w:val="22"/>
        </w:rPr>
      </w:pPr>
      <w:r>
        <w:rPr>
          <w:rFonts w:ascii="Times New Roman" w:hAnsi="Times New Roman" w:cs="Times New Roman"/>
          <w:b/>
          <w:sz w:val="22"/>
        </w:rPr>
        <w:t xml:space="preserve">Referitor la: </w:t>
      </w:r>
      <w:r>
        <w:rPr>
          <w:rFonts w:ascii="Times New Roman" w:hAnsi="Times New Roman" w:cs="Times New Roman"/>
          <w:sz w:val="22"/>
        </w:rPr>
        <w:t>Solicitarea de clarificări nr. 2 privind Formularul nr. 12 și structura meniului</w:t>
      </w:r>
    </w:p>
    <w:p w14:paraId="4F0727F6">
      <w:pPr>
        <w:keepLines/>
        <w:jc w:val="both"/>
        <w:rPr>
          <w:rFonts w:ascii="Times New Roman" w:hAnsi="Times New Roman" w:cs="Times New Roman"/>
          <w:sz w:val="22"/>
        </w:rPr>
      </w:pPr>
      <w:r>
        <w:rPr>
          <w:rFonts w:ascii="Times New Roman" w:hAnsi="Times New Roman" w:cs="Times New Roman"/>
          <w:sz w:val="22"/>
        </w:rPr>
        <w:t xml:space="preserve">În urma analizării solicitării nr. 2, a solicitării nr. 1, a Formularului nr. 12 revizuit și a caietului de sarcini, autoritatea contractantă clarifică structura meniului pentru ca toți operatorii să elaboreze ofertele pe aceeași bază. </w:t>
      </w:r>
      <w:r>
        <w:rPr>
          <w:rFonts w:ascii="Times New Roman" w:hAnsi="Times New Roman" w:cs="Times New Roman"/>
          <w:b/>
          <w:sz w:val="22"/>
        </w:rPr>
        <w:t>Pentru ciclul de minimum 20 de zile, în zilele în care se livrează masă caldă, meniul va cuprinde supă/ciorbă (felul întâi), preparat principal (felul al doilea) și garnitură/legume. Fructul sau desertul se va include în zilele indicate de ofertant în ciclul de meniu, atunci când compoziția și calculul nutrițional al mesei justifică această completare.</w:t>
      </w:r>
    </w:p>
    <w:p w14:paraId="6094DDA2">
      <w:pPr>
        <w:pStyle w:val="2"/>
        <w:jc w:val="both"/>
        <w:rPr>
          <w:rFonts w:ascii="Times New Roman" w:hAnsi="Times New Roman" w:cs="Times New Roman"/>
          <w:szCs w:val="22"/>
        </w:rPr>
      </w:pPr>
      <w:r>
        <w:rPr>
          <w:rFonts w:ascii="Times New Roman" w:hAnsi="Times New Roman" w:cs="Times New Roman"/>
          <w:szCs w:val="22"/>
        </w:rPr>
        <w:t>1. Sensul coloanei „Felul 1 (supe/ciorbe)”</w:t>
      </w:r>
    </w:p>
    <w:p w14:paraId="4A0784D0">
      <w:pPr>
        <w:keepLines/>
        <w:jc w:val="both"/>
        <w:rPr>
          <w:rFonts w:ascii="Times New Roman" w:hAnsi="Times New Roman" w:cs="Times New Roman"/>
          <w:color w:val="EE0000"/>
          <w:sz w:val="22"/>
        </w:rPr>
      </w:pPr>
      <w:r>
        <w:rPr>
          <w:rFonts w:ascii="Times New Roman" w:hAnsi="Times New Roman" w:cs="Times New Roman"/>
          <w:sz w:val="22"/>
        </w:rPr>
        <w:t>Coloana introdusă în Formularul nr. 12 nu are doar rol descriptiv: pentru meniurile de masă caldă ofertate, aceasta se completează cu o supă sau ciorbă în fiecare zi a ciclului de minimum 20 de zile, alături de felul al doilea și garnitura/legumele. Cerința reflectă opțiunea autorității contractante, formulată în cadrul organizării acestui proiect</w:t>
      </w:r>
    </w:p>
    <w:p w14:paraId="1D7F0E29">
      <w:pPr>
        <w:pStyle w:val="2"/>
        <w:rPr>
          <w:rFonts w:ascii="Times New Roman" w:hAnsi="Times New Roman" w:cs="Times New Roman"/>
          <w:szCs w:val="22"/>
        </w:rPr>
      </w:pPr>
      <w:r>
        <w:rPr>
          <w:rFonts w:ascii="Times New Roman" w:hAnsi="Times New Roman" w:cs="Times New Roman"/>
          <w:szCs w:val="22"/>
        </w:rPr>
        <w:t>2. Structura porției și plafonul unitar</w:t>
      </w:r>
    </w:p>
    <w:p w14:paraId="2E4EF245">
      <w:pPr>
        <w:keepLines/>
        <w:jc w:val="both"/>
        <w:rPr>
          <w:rFonts w:ascii="Times New Roman" w:hAnsi="Times New Roman" w:cs="Times New Roman"/>
          <w:sz w:val="22"/>
        </w:rPr>
      </w:pPr>
      <w:r>
        <w:rPr>
          <w:rFonts w:ascii="Times New Roman" w:hAnsi="Times New Roman" w:cs="Times New Roman"/>
          <w:sz w:val="22"/>
        </w:rPr>
        <w:t>Structura meniului cald este: felul întâi (supă/ciorbă) + preparat principal (felul al doilea) + garnitură/legume; în zilele în care ofertantul propune fruct sau desert, acesta face parte din aceeași porție. Plafonul de 15,00 lei/porție, inclusiv TVA, rămâne neschimbat. Acesta include toate costurile aferente componentelor ofertate, preparării, ambalării, consumabilelor, transportului și livrării. Nu se va oferta și nu se va deconta un preț distinct pentru supă/ciorbă, fruct sau desert.</w:t>
      </w:r>
    </w:p>
    <w:p w14:paraId="25B0FD76">
      <w:pPr>
        <w:pStyle w:val="2"/>
        <w:rPr>
          <w:rFonts w:ascii="Times New Roman" w:hAnsi="Times New Roman" w:cs="Times New Roman"/>
          <w:szCs w:val="22"/>
        </w:rPr>
      </w:pPr>
      <w:r>
        <w:rPr>
          <w:rFonts w:ascii="Times New Roman" w:hAnsi="Times New Roman" w:cs="Times New Roman"/>
          <w:szCs w:val="22"/>
        </w:rPr>
        <w:t>3. Valoarea nutritivă și fundamentarea meniului</w:t>
      </w:r>
    </w:p>
    <w:p w14:paraId="11F85AC8">
      <w:pPr>
        <w:keepLines/>
        <w:jc w:val="both"/>
        <w:rPr>
          <w:rFonts w:ascii="Times New Roman" w:hAnsi="Times New Roman" w:cs="Times New Roman"/>
          <w:sz w:val="22"/>
        </w:rPr>
      </w:pPr>
      <w:r>
        <w:rPr>
          <w:rFonts w:ascii="Times New Roman" w:hAnsi="Times New Roman" w:cs="Times New Roman"/>
          <w:sz w:val="22"/>
        </w:rPr>
        <w:t>Meniul va fi adecvat vârstei copiilor, variat și echilibrat, cu surse de proteine, legume/fructe și produse cerealiere, cu limitarea sării, zahărului adăugat și a preparatelor prăjite. Valoarea energetică și nutritivă se apreciază pentru ansamblul componentelor servite în ziua respectivă, raportat la vârsta beneficiarilor și la timpul petrecut în colectivitate. Ofertantul va indica în Formularul nr. 12 gramajul fiecărei componente, ingredientele și alergenii, precum și valorile energetice și datele nutriționale disponibile/rezultate din rețetar pentru meniul complet. Fructul sau desertul se propune numai în zilele în care completează justificat rația și structura meniului; ofertantul va marca acele zile și va include componenta în gramajul total și în calculul nutrițional al zilei.</w:t>
      </w:r>
    </w:p>
    <w:p w14:paraId="7FBF65FF">
      <w:pPr>
        <w:pStyle w:val="2"/>
        <w:rPr>
          <w:rFonts w:ascii="Times New Roman" w:hAnsi="Times New Roman" w:cs="Times New Roman"/>
          <w:szCs w:val="22"/>
        </w:rPr>
      </w:pPr>
      <w:r>
        <w:rPr>
          <w:rFonts w:ascii="Times New Roman" w:hAnsi="Times New Roman" w:cs="Times New Roman"/>
          <w:szCs w:val="22"/>
        </w:rPr>
        <w:t>4. Gramajul total și porționarea</w:t>
      </w:r>
    </w:p>
    <w:p w14:paraId="6CB8E271">
      <w:pPr>
        <w:keepLines/>
        <w:jc w:val="both"/>
        <w:rPr>
          <w:rFonts w:ascii="Times New Roman" w:hAnsi="Times New Roman" w:cs="Times New Roman"/>
          <w:sz w:val="22"/>
        </w:rPr>
      </w:pPr>
      <w:r>
        <w:rPr>
          <w:rFonts w:ascii="Times New Roman" w:hAnsi="Times New Roman" w:cs="Times New Roman"/>
          <w:sz w:val="22"/>
        </w:rPr>
        <w:t>Rubrica „Gramaj total” reprezintă suma gramajelor tuturor componentelor efectiv oferite în ziua respectivă: supă/ciorbă, preparat principal, garnitură/legume și, după caz, fruct/desert. În coloana fiecărei componente se va preciza gramajul corespunzător, iar în rubrica „Gramaj total” se va înscrie totalul rezultat. Caietul de sarcini și normele PNMS aplicabile ca reper nu stabilesc un gramaj unic, obligatoriu pentru felul întâi și felul al doilea, pentru toate vârstele și toate meniurile; ofertantul propune gramaje adecvate, le justifică prin rețetar și calcul nutrițional și le menține în prestare.</w:t>
      </w:r>
    </w:p>
    <w:p w14:paraId="0BD3FE2B">
      <w:pPr>
        <w:pStyle w:val="2"/>
        <w:rPr>
          <w:rFonts w:ascii="Times New Roman" w:hAnsi="Times New Roman" w:cs="Times New Roman"/>
          <w:szCs w:val="22"/>
        </w:rPr>
      </w:pPr>
      <w:r>
        <w:rPr>
          <w:rFonts w:ascii="Times New Roman" w:hAnsi="Times New Roman" w:cs="Times New Roman"/>
          <w:szCs w:val="22"/>
        </w:rPr>
        <w:t>5. Aplicarea normelor PNMS ca reper nutrițional</w:t>
      </w:r>
    </w:p>
    <w:p w14:paraId="5ECA6780">
      <w:pPr>
        <w:keepLines/>
        <w:jc w:val="both"/>
        <w:rPr>
          <w:rFonts w:ascii="Times New Roman" w:hAnsi="Times New Roman" w:cs="Times New Roman"/>
          <w:sz w:val="22"/>
        </w:rPr>
      </w:pPr>
      <w:r>
        <w:rPr>
          <w:rFonts w:ascii="Times New Roman" w:hAnsi="Times New Roman" w:cs="Times New Roman"/>
          <w:sz w:val="22"/>
        </w:rPr>
        <w:t>Caietul de sarcini solicită respectarea Legii nr. 123/2008, a Ordinului ministrului sănătății publice nr. 1.563/2008 și a actelor în vigoare privind alimentația sănătoasă și siguranța alimentelor. Acestea fundamentează cerința unei alimentații diversificate, echilibrate și adaptate vârstei, cu aport nutritiv raportat la necesarul copiilor. HG nr. 24/2024, cu modificările și completările aplicabile PNMS, prevede acordarea unei mese calde sau, după caz, a unui pachet alimentar în limita zilnică stabilită și trimite la principiile din Legea nr. 123/2008, Ordinul nr. 1.563/2008 și normele minime din anexele sale. Anexa nr. 2 la HG nr. 24/2024 cuprinde reguli obligatorii de preparare și variante orientative de meniu; nu stabilește o obligație generală ca supa să fie servită zilnic și nici un gramaj unic pentru fiecare componentă a mesei calde. În această procedură, supa zilnică rezultă din opțiunea de meniu clarificată mai sus, iar apropierea de PNMS privește principiile nutriționale și de preparare, nu identitatea dintre cele două programe.</w:t>
      </w:r>
    </w:p>
    <w:p w14:paraId="15F175F7">
      <w:pPr>
        <w:pStyle w:val="2"/>
        <w:rPr>
          <w:rFonts w:ascii="Times New Roman" w:hAnsi="Times New Roman" w:cs="Times New Roman"/>
          <w:szCs w:val="22"/>
        </w:rPr>
      </w:pPr>
      <w:r>
        <w:rPr>
          <w:rFonts w:ascii="Times New Roman" w:hAnsi="Times New Roman" w:cs="Times New Roman"/>
          <w:szCs w:val="22"/>
        </w:rPr>
        <w:t>6. Factori de evaluare și publicarea formei corelate</w:t>
      </w:r>
    </w:p>
    <w:p w14:paraId="6B473DC0">
      <w:pPr>
        <w:keepLines/>
        <w:jc w:val="both"/>
        <w:rPr>
          <w:rFonts w:ascii="Times New Roman" w:hAnsi="Times New Roman" w:cs="Times New Roman"/>
          <w:sz w:val="22"/>
        </w:rPr>
      </w:pPr>
      <w:r>
        <w:rPr>
          <w:rFonts w:ascii="Times New Roman" w:hAnsi="Times New Roman" w:cs="Times New Roman"/>
          <w:sz w:val="22"/>
        </w:rPr>
        <w:t>Evaluarea se va face exclusiv prin factorii și subfactorii prevăzuți în fișa de date. Diversitatea supelor/ciorbelor nu constituie un factor sau subfactor de evaluare distinct, dacă fișa de date nu îl prevede expres. Formularul nr. 12 revizuit, împreună cu prezentul răspuns, se utilizează pentru întocmirea și evaluarea propunerilor tehnice; clarificarea nu introduce un factor nou de punctare. Dar meniul oferit pentru 20 zile fără supe nu va fi calificat pentru punctaj.</w:t>
      </w:r>
    </w:p>
    <w:p w14:paraId="2718D15C">
      <w:pPr>
        <w:pStyle w:val="2"/>
        <w:rPr>
          <w:rFonts w:ascii="Times New Roman" w:hAnsi="Times New Roman" w:cs="Times New Roman"/>
          <w:szCs w:val="22"/>
        </w:rPr>
      </w:pPr>
      <w:r>
        <w:rPr>
          <w:rFonts w:ascii="Times New Roman" w:hAnsi="Times New Roman" w:cs="Times New Roman"/>
          <w:szCs w:val="22"/>
        </w:rPr>
        <w:t>7. Precizări privind finanțarea și comparabilitatea ofertelor</w:t>
      </w:r>
    </w:p>
    <w:p w14:paraId="7E246B65">
      <w:pPr>
        <w:keepLines/>
        <w:jc w:val="both"/>
        <w:rPr>
          <w:rFonts w:ascii="Times New Roman" w:hAnsi="Times New Roman" w:cs="Times New Roman"/>
          <w:sz w:val="22"/>
        </w:rPr>
      </w:pPr>
      <w:r>
        <w:rPr>
          <w:rFonts w:ascii="Times New Roman" w:hAnsi="Times New Roman" w:cs="Times New Roman"/>
          <w:sz w:val="22"/>
        </w:rPr>
        <w:t>Documentația proiectului PIDS și caietul de sarcini al acestei proceduri nu sunt prezentate ca impunând prin lege o supă/ciorbă în fiecare zi. Componenta este stabilită de autoritatea contractantă și este inclusă în structura meniului solicitat pentru această procedură. Toate ofertele vor respecta aceeași structură și același plafon unitar, iar costurile tuturor componentelor se includ în prețul ofertat.</w:t>
      </w:r>
    </w:p>
    <w:p w14:paraId="5638EBA4">
      <w:pPr>
        <w:keepLines/>
        <w:jc w:val="both"/>
        <w:rPr>
          <w:rFonts w:ascii="Times New Roman" w:hAnsi="Times New Roman" w:cs="Times New Roman"/>
          <w:sz w:val="22"/>
        </w:rPr>
      </w:pPr>
      <w:r>
        <w:rPr>
          <w:rFonts w:ascii="Times New Roman" w:hAnsi="Times New Roman" w:cs="Times New Roman"/>
          <w:b/>
          <w:sz w:val="22"/>
        </w:rPr>
        <w:t>În consecință, ofertanții vor completa Formularul nr. 12 pentru minimum 20 de zile, înscriind zilnic supa/ciorba, felul al doilea și garnitura/legumele, iar fructul/desertul în zilele propuse și susținute de calculul nutrițional. Gramajul total și valoarea nutritivă vor reflecta toate componentele oferite în ziua respectivă. Plafonul maxim de 15,00 lei/porție cu TVA se menține, fiind asigurate din cadrul proiectului.</w:t>
      </w:r>
    </w:p>
    <w:p w14:paraId="100EB64B">
      <w:pPr>
        <w:keepLines/>
        <w:spacing w:before="200"/>
        <w:jc w:val="center"/>
        <w:rPr>
          <w:rFonts w:ascii="Times New Roman" w:hAnsi="Times New Roman" w:cs="Times New Roman"/>
          <w:b/>
          <w:sz w:val="22"/>
        </w:rPr>
      </w:pPr>
    </w:p>
    <w:p w14:paraId="6387F4A1">
      <w:pPr>
        <w:keepLines/>
        <w:spacing w:before="200"/>
        <w:jc w:val="center"/>
        <w:rPr>
          <w:rFonts w:ascii="Times New Roman" w:hAnsi="Times New Roman" w:cs="Times New Roman"/>
          <w:sz w:val="22"/>
        </w:rPr>
      </w:pPr>
      <w:r>
        <w:rPr>
          <w:rFonts w:ascii="Times New Roman" w:hAnsi="Times New Roman" w:cs="Times New Roman"/>
          <w:b/>
          <w:sz w:val="22"/>
        </w:rPr>
        <w:t>PRIMAR,</w:t>
      </w:r>
    </w:p>
    <w:p w14:paraId="71C0C177">
      <w:pPr>
        <w:keepLines/>
        <w:jc w:val="center"/>
        <w:rPr>
          <w:rFonts w:ascii="Times New Roman" w:hAnsi="Times New Roman" w:cs="Times New Roman"/>
          <w:sz w:val="22"/>
        </w:rPr>
      </w:pPr>
      <w:r>
        <w:rPr>
          <w:rFonts w:ascii="Times New Roman" w:hAnsi="Times New Roman" w:cs="Times New Roman"/>
          <w:b/>
          <w:sz w:val="22"/>
        </w:rPr>
        <w:t>Tikosi László</w:t>
      </w:r>
    </w:p>
    <w:sectPr>
      <w:footerReference r:id="rId5" w:type="default"/>
      <w:pgSz w:w="12240" w:h="15840"/>
      <w:pgMar w:top="1191" w:right="900" w:bottom="1134"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MS Gothic">
    <w:panose1 w:val="020B0609070205080204"/>
    <w:charset w:val="80"/>
    <w:family w:val="auto"/>
    <w:pitch w:val="default"/>
    <w:sig w:usb0="E00002FF" w:usb1="6AC7FDFB" w:usb2="00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9C0C0">
    <w:pPr>
      <w:pStyle w:val="18"/>
      <w:jc w:val="center"/>
    </w:pPr>
    <w:r>
      <w:fldChar w:fldCharType="begin"/>
    </w:r>
    <w:r>
      <w:instrText xml:space="preserve">PAGE</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6FF2"/>
    <w:rsid w:val="000D3350"/>
    <w:rsid w:val="000D5530"/>
    <w:rsid w:val="000E4EA9"/>
    <w:rsid w:val="0015074B"/>
    <w:rsid w:val="0029639D"/>
    <w:rsid w:val="00326F90"/>
    <w:rsid w:val="004F6C51"/>
    <w:rsid w:val="007B2072"/>
    <w:rsid w:val="007C1EBF"/>
    <w:rsid w:val="00860CBB"/>
    <w:rsid w:val="008B2DAE"/>
    <w:rsid w:val="00AA1D8D"/>
    <w:rsid w:val="00B47730"/>
    <w:rsid w:val="00CB0664"/>
    <w:rsid w:val="00FB25C5"/>
    <w:rsid w:val="00FC693F"/>
    <w:rsid w:val="00FF62C4"/>
    <w:rsid w:val="4953578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59" w:lineRule="auto"/>
    </w:pPr>
    <w:rPr>
      <w:rFonts w:ascii="Arial" w:hAnsi="Arial" w:eastAsia="Arial" w:cstheme="minorBidi"/>
      <w:sz w:val="21"/>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000000"/>
      <w:sz w:val="22"/>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000000"/>
      <w:sz w:val="26"/>
      <w:szCs w:val="26"/>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qFormat/>
    <w:uiPriority w:val="99"/>
  </w:style>
  <w:style w:type="paragraph" w:styleId="14">
    <w:name w:val="Body Text 2"/>
    <w:basedOn w:val="1"/>
    <w:link w:val="145"/>
    <w:unhideWhenUsed/>
    <w:qFormat/>
    <w:uiPriority w:val="99"/>
    <w:pPr>
      <w:spacing w:line="480" w:lineRule="auto"/>
    </w:pPr>
  </w:style>
  <w:style w:type="paragraph" w:styleId="15">
    <w:name w:val="Body Text 3"/>
    <w:basedOn w:val="1"/>
    <w:link w:val="146"/>
    <w:unhideWhenUsed/>
    <w:qFormat/>
    <w:uiPriority w:val="99"/>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ind w:left="360"/>
      <w:contextualSpacing/>
    </w:pPr>
  </w:style>
  <w:style w:type="paragraph" w:styleId="27">
    <w:name w:val="List Continue 2"/>
    <w:basedOn w:val="1"/>
    <w:unhideWhenUsed/>
    <w:uiPriority w:val="99"/>
    <w:pPr>
      <w:ind w:left="720"/>
      <w:contextualSpacing/>
    </w:pPr>
  </w:style>
  <w:style w:type="paragraph" w:styleId="28">
    <w:name w:val="List Continue 3"/>
    <w:basedOn w:val="1"/>
    <w:unhideWhenUsed/>
    <w:uiPriority w:val="99"/>
    <w:pPr>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000000"/>
      <w:spacing w:val="5"/>
      <w:kern w:val="28"/>
      <w:sz w:val="30"/>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Élőfej Char"/>
    <w:basedOn w:val="11"/>
    <w:link w:val="19"/>
    <w:qFormat/>
    <w:uiPriority w:val="99"/>
  </w:style>
  <w:style w:type="character" w:customStyle="1" w:styleId="136">
    <w:name w:val="Élőláb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Címsor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Címsor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Címsor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Cím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Alcím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Szövegtörzs Char"/>
    <w:basedOn w:val="11"/>
    <w:link w:val="13"/>
    <w:qFormat/>
    <w:uiPriority w:val="99"/>
  </w:style>
  <w:style w:type="character" w:customStyle="1" w:styleId="145">
    <w:name w:val="Szövegtörzs 2 Char"/>
    <w:basedOn w:val="11"/>
    <w:link w:val="14"/>
    <w:qFormat/>
    <w:uiPriority w:val="99"/>
  </w:style>
  <w:style w:type="character" w:customStyle="1" w:styleId="146">
    <w:name w:val="Szövegtörzs 3 Char"/>
    <w:basedOn w:val="11"/>
    <w:link w:val="15"/>
    <w:qFormat/>
    <w:uiPriority w:val="99"/>
    <w:rPr>
      <w:sz w:val="16"/>
      <w:szCs w:val="16"/>
    </w:rPr>
  </w:style>
  <w:style w:type="character" w:customStyle="1" w:styleId="147">
    <w:name w:val="Makró szövege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Idézet Char"/>
    <w:basedOn w:val="11"/>
    <w:link w:val="148"/>
    <w:qFormat/>
    <w:uiPriority w:val="29"/>
    <w:rPr>
      <w:i/>
      <w:iCs/>
      <w:color w:val="000000" w:themeColor="text1"/>
      <w14:textFill>
        <w14:solidFill>
          <w14:schemeClr w14:val="tx1"/>
        </w14:solidFill>
      </w14:textFill>
    </w:rPr>
  </w:style>
  <w:style w:type="character" w:customStyle="1" w:styleId="150">
    <w:name w:val="Címsor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Címsor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Címsor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Címsor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Címsor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Címsor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Kiemelt idézet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Pages>
  <Words>845</Words>
  <Characters>5082</Characters>
  <Lines>43</Lines>
  <Paragraphs>11</Paragraphs>
  <TotalTime>2</TotalTime>
  <ScaleCrop>false</ScaleCrop>
  <LinksUpToDate>false</LinksUpToDate>
  <CharactersWithSpaces>5902</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2026-10-23T05:35:00Z</dcterms:created>
  <dc:creator>python-docx</dc:creator>
  <dc:description>generated by python-docx</dc:description>
  <cp:lastModifiedBy>WPS_1783936434</cp:lastModifiedBy>
  <dcterms:modified xsi:type="dcterms:W3CDTF">2026-10-23T06:23:50Z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eyJoZGlkIjoiMjQ1N2ZlZDIyNjA2ODI1MDIwZmIzMmM1ZTIxMzM2ZjgiLCJ1c2VySWQiOiI1NDk3NTYxNzQ3MzE1In0=</vt:lpwstr>
  </property>
  <property fmtid="{D5CDD505-2E9C-101B-9397-08002B2CF9AE}" pid="3" name="KSOProductBuildVer">
    <vt:lpwstr>1033-12.1.0.26372</vt:lpwstr>
  </property>
  <property fmtid="{D5CDD505-2E9C-101B-9397-08002B2CF9AE}" pid="4" name="ICV">
    <vt:lpwstr>F2E8B09EE8E14F11A5D57962C61D1AB5_13</vt:lpwstr>
  </property>
</Properties>
</file>