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93C23">
      <w:pPr>
        <w:pStyle w:val="5"/>
        <w:ind w:right="3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ROMÂNIA</w:t>
      </w:r>
    </w:p>
    <w:p w14:paraId="6178CAA7">
      <w:pPr>
        <w:pStyle w:val="5"/>
        <w:ind w:right="3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JUDEȚUL HARGHITA</w:t>
      </w:r>
    </w:p>
    <w:p w14:paraId="06F60557">
      <w:pPr>
        <w:pStyle w:val="5"/>
        <w:tabs>
          <w:tab w:val="left" w:leader="dot" w:pos="2826"/>
        </w:tabs>
        <w:spacing w:before="54"/>
        <w:ind w:right="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PRIMARUL COMUNEI MEREȘTI</w:t>
      </w:r>
    </w:p>
    <w:p w14:paraId="0E2F183C">
      <w:pPr>
        <w:pStyle w:val="5"/>
        <w:tabs>
          <w:tab w:val="left" w:leader="dot" w:pos="2826"/>
        </w:tabs>
        <w:spacing w:before="54"/>
        <w:ind w:right="89"/>
        <w:rPr>
          <w:rFonts w:ascii="Times New Roman" w:hAnsi="Times New Roman" w:cs="Times New Roman"/>
          <w:sz w:val="24"/>
          <w:szCs w:val="24"/>
        </w:rPr>
      </w:pPr>
    </w:p>
    <w:p w14:paraId="7A1A33DE">
      <w:pPr>
        <w:pStyle w:val="5"/>
        <w:tabs>
          <w:tab w:val="left" w:leader="dot" w:pos="2826"/>
        </w:tabs>
        <w:spacing w:before="54"/>
        <w:ind w:right="89"/>
        <w:rPr>
          <w:rFonts w:ascii="Times New Roman" w:hAnsi="Times New Roman" w:cs="Times New Roman"/>
          <w:sz w:val="24"/>
          <w:szCs w:val="24"/>
        </w:rPr>
      </w:pPr>
    </w:p>
    <w:p w14:paraId="05367074">
      <w:pPr>
        <w:rPr>
          <w:lang w:val="en-US" w:eastAsia="hu-HU"/>
        </w:rPr>
      </w:pPr>
    </w:p>
    <w:p w14:paraId="3F5FA43E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DISPOZIŢIA NR.  </w:t>
      </w:r>
      <w:bookmarkStart w:id="0" w:name="_Hlk56487338"/>
      <w:r>
        <w:rPr>
          <w:rFonts w:hint="default"/>
          <w:b/>
          <w:bCs/>
          <w:sz w:val="24"/>
          <w:lang w:val="en-US"/>
        </w:rPr>
        <w:t>47</w:t>
      </w:r>
      <w:r>
        <w:rPr>
          <w:b/>
          <w:bCs/>
          <w:sz w:val="24"/>
        </w:rPr>
        <w:t>/2025</w:t>
      </w:r>
    </w:p>
    <w:bookmarkEnd w:id="0"/>
    <w:p w14:paraId="532CBC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privind stabilirea locurilor speciale pentru afişaj electoral </w:t>
      </w:r>
      <w:bookmarkStart w:id="1" w:name="_Hlk179877107"/>
      <w:r>
        <w:rPr>
          <w:b/>
          <w:bCs/>
          <w:sz w:val="24"/>
          <w:szCs w:val="24"/>
        </w:rPr>
        <w:t xml:space="preserve">la alegerile </w:t>
      </w:r>
    </w:p>
    <w:p w14:paraId="7647B25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Președintelui României din anul 2025</w:t>
      </w:r>
    </w:p>
    <w:bookmarkEnd w:id="1"/>
    <w:p w14:paraId="3791B6E1">
      <w:pPr>
        <w:spacing w:line="360" w:lineRule="auto"/>
        <w:ind w:firstLine="720"/>
        <w:jc w:val="both"/>
        <w:rPr>
          <w:sz w:val="24"/>
          <w:szCs w:val="24"/>
          <w:lang w:val="en-US"/>
        </w:rPr>
      </w:pPr>
    </w:p>
    <w:p w14:paraId="6C21B891">
      <w:pPr>
        <w:contextualSpacing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Primarul comunei </w:t>
      </w:r>
      <w:r>
        <w:rPr>
          <w:b/>
          <w:sz w:val="24"/>
          <w:szCs w:val="24"/>
          <w:lang w:val="ro-RO"/>
        </w:rPr>
        <w:t>Merești</w:t>
      </w:r>
      <w:r>
        <w:rPr>
          <w:b/>
          <w:sz w:val="24"/>
          <w:szCs w:val="24"/>
          <w:lang w:val="en-US"/>
        </w:rPr>
        <w:t>, județul Harghita.</w:t>
      </w:r>
    </w:p>
    <w:p w14:paraId="64B282EB">
      <w:pPr>
        <w:ind w:firstLine="720"/>
        <w:contextualSpacing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Având în vedere</w:t>
      </w:r>
      <w:r>
        <w:rPr>
          <w:b/>
          <w:sz w:val="24"/>
          <w:szCs w:val="24"/>
        </w:rPr>
        <w:t>:</w:t>
      </w:r>
    </w:p>
    <w:p w14:paraId="2F554F1C">
      <w:pPr>
        <w:pStyle w:val="13"/>
        <w:numPr>
          <w:ilvl w:val="0"/>
          <w:numId w:val="1"/>
        </w:numPr>
        <w:ind w:left="709" w:hanging="142"/>
        <w:jc w:val="both"/>
        <w:rPr>
          <w:b/>
          <w:lang w:val="en-US"/>
        </w:rPr>
      </w:pPr>
      <w:r>
        <w:t xml:space="preserve"> </w:t>
      </w:r>
      <w:r>
        <w:rPr>
          <w:rFonts w:hint="default"/>
          <w:lang w:val="ro-RO"/>
        </w:rPr>
        <w:t>R</w:t>
      </w:r>
      <w:r>
        <w:t xml:space="preserve">eferatul </w:t>
      </w:r>
      <w:r>
        <w:rPr>
          <w:rFonts w:hint="default"/>
          <w:lang w:val="ro-RO"/>
        </w:rPr>
        <w:t>secretarului general al comunei Merești</w:t>
      </w:r>
      <w:r>
        <w:t xml:space="preserve"> nr.26/2025 </w:t>
      </w:r>
      <w:r>
        <w:rPr>
          <w:bCs/>
        </w:rPr>
        <w:t>privind stabilirea locurilor speciale  pentru afişaj electoral pentru alegerile pentru Preșdintele României.</w:t>
      </w:r>
    </w:p>
    <w:p w14:paraId="79636055">
      <w:pPr>
        <w:pStyle w:val="13"/>
        <w:numPr>
          <w:ilvl w:val="0"/>
          <w:numId w:val="1"/>
        </w:numPr>
        <w:spacing w:line="216" w:lineRule="auto"/>
        <w:jc w:val="both"/>
        <w:textAlignment w:val="baseline"/>
        <w:rPr>
          <w:color w:val="232323"/>
        </w:rPr>
      </w:pPr>
      <w:r>
        <w:rPr>
          <w:iCs/>
        </w:rPr>
        <w:t>prevederile art. 41 din Legea nr. 370/2004 pentru alegerea Preşedintelui României, cu modificările și completările ulterioare ;</w:t>
      </w:r>
    </w:p>
    <w:p w14:paraId="5A220978">
      <w:pPr>
        <w:pStyle w:val="13"/>
        <w:numPr>
          <w:ilvl w:val="0"/>
          <w:numId w:val="1"/>
        </w:numPr>
        <w:spacing w:line="216" w:lineRule="auto"/>
        <w:jc w:val="both"/>
        <w:textAlignment w:val="baseline"/>
        <w:rPr>
          <w:color w:val="232323"/>
        </w:rPr>
      </w:pPr>
      <w:r>
        <w:rPr>
          <w:iCs/>
        </w:rPr>
        <w:t xml:space="preserve">prevederile art. 41 </w:t>
      </w:r>
      <w:r>
        <w:rPr>
          <w:rFonts w:hint="default"/>
          <w:iCs/>
          <w:lang w:val="ro-RO"/>
        </w:rPr>
        <w:t xml:space="preserve">alin (2) </w:t>
      </w:r>
      <w:r>
        <w:rPr>
          <w:iCs/>
        </w:rPr>
        <w:t>din Legea nr. 370/2004 pentru alegerea Preşedintelui României, cu modificările și completările ulterioare</w:t>
      </w:r>
      <w:r>
        <w:rPr>
          <w:rFonts w:hint="default"/>
          <w:iCs/>
          <w:lang w:val="ro-RO"/>
        </w:rPr>
        <w:t>,</w:t>
      </w:r>
    </w:p>
    <w:p w14:paraId="6410E8C0">
      <w:pPr>
        <w:pStyle w:val="13"/>
        <w:numPr>
          <w:ilvl w:val="0"/>
          <w:numId w:val="1"/>
        </w:numPr>
        <w:spacing w:line="216" w:lineRule="auto"/>
        <w:jc w:val="both"/>
        <w:textAlignment w:val="baseline"/>
        <w:rPr>
          <w:color w:val="232323"/>
        </w:rPr>
      </w:pPr>
      <w:r>
        <w:rPr>
          <w:bCs/>
          <w:shd w:val="clear" w:color="auto" w:fill="FFFFFF"/>
        </w:rPr>
        <w:t>prevederile Ordonanței de urgență nr.</w:t>
      </w:r>
      <w:r>
        <w:rPr>
          <w:rFonts w:eastAsia="Adobe Kaiti Std R"/>
          <w:color w:val="19194D"/>
          <w:kern w:val="24"/>
          <w:lang w:val="ro-RO"/>
        </w:rPr>
        <w:t>1/2025 privind unele măsuri pentru organizarea şi desfăşurarea alegerilor pentru Preşedintele României din anul 2025 şi alegerilor locale parţiale din anul 2025;</w:t>
      </w:r>
    </w:p>
    <w:p w14:paraId="1ABCADFC">
      <w:pPr>
        <w:pStyle w:val="13"/>
        <w:numPr>
          <w:ilvl w:val="0"/>
          <w:numId w:val="1"/>
        </w:numPr>
      </w:pPr>
      <w:r>
        <w:rPr>
          <w:lang w:val="ro-RO"/>
        </w:rPr>
        <w:t>Hotărârea guvernului nr. 4/2025 privind stabilirea datei alegerilor pentru Președintele României din anul 2025;</w:t>
      </w:r>
    </w:p>
    <w:p w14:paraId="536B5006">
      <w:pPr>
        <w:pStyle w:val="13"/>
        <w:numPr>
          <w:ilvl w:val="0"/>
          <w:numId w:val="1"/>
        </w:numPr>
      </w:pPr>
      <w:r>
        <w:rPr>
          <w:lang w:val="ro-RO"/>
        </w:rPr>
        <w:t>Hotărârea guvernului nr. 17/2025 privind aprobarea Programului calendaristic pentru realizarea acțiunilor necesare pentru alegerea Președintelui României din anul 2025;</w:t>
      </w:r>
    </w:p>
    <w:p w14:paraId="56E9C7DA">
      <w:pPr>
        <w:pStyle w:val="13"/>
        <w:numPr>
          <w:ilvl w:val="0"/>
          <w:numId w:val="1"/>
        </w:numPr>
      </w:pPr>
      <w:r>
        <w:rPr>
          <w:lang w:val="ro-RO"/>
        </w:rPr>
        <w:t>Hotărârea guvernului nr. 68/2025 privind stabilirea măsurilor pentru buna organizare și desfășurare a alegerilor pentru Președintele României din anul 2025</w:t>
      </w:r>
    </w:p>
    <w:p w14:paraId="16E75DFF">
      <w:pPr>
        <w:ind w:firstLine="567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it-IT"/>
        </w:rPr>
        <w:t>În temeiul prevederilor art. 155 alin (1) lit. a), alin. (2), lit. b) și art. 196, alin. (1) lit. b) din Ordonanţa de urgenţă a Guvernului nr. 57/2019 privind Codul administrativ, cu modificările şi completările ulterioare</w:t>
      </w:r>
    </w:p>
    <w:p w14:paraId="450DB031">
      <w:pPr>
        <w:pStyle w:val="13"/>
        <w:ind w:left="0" w:firstLine="567"/>
        <w:jc w:val="both"/>
        <w:rPr>
          <w:lang w:val="it-IT"/>
        </w:rPr>
      </w:pPr>
    </w:p>
    <w:p w14:paraId="392D1640">
      <w:pPr>
        <w:pStyle w:val="13"/>
        <w:ind w:left="0"/>
        <w:jc w:val="center"/>
        <w:rPr>
          <w:b/>
        </w:rPr>
      </w:pPr>
      <w:r>
        <w:rPr>
          <w:b/>
        </w:rPr>
        <w:t>DISPUNE</w:t>
      </w:r>
      <w:r>
        <w:rPr>
          <w:b/>
          <w:lang w:val="ro-RO"/>
        </w:rPr>
        <w:t>:</w:t>
      </w:r>
    </w:p>
    <w:p w14:paraId="11BB75E9">
      <w:pPr>
        <w:pStyle w:val="13"/>
        <w:ind w:left="0"/>
        <w:jc w:val="center"/>
        <w:rPr>
          <w:b/>
        </w:rPr>
      </w:pPr>
    </w:p>
    <w:p w14:paraId="5FA72B42">
      <w:pPr>
        <w:pStyle w:val="12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20EA783">
      <w:pPr>
        <w:tabs>
          <w:tab w:val="left" w:pos="540"/>
        </w:tabs>
        <w:jc w:val="both"/>
        <w:rPr>
          <w:rFonts w:hint="default" w:ascii="Times New Roman" w:hAnsi="Times New Roman" w:cs="Times New Roman"/>
          <w:sz w:val="24"/>
          <w:szCs w:val="24"/>
          <w:lang w:val="hu-HU"/>
        </w:rPr>
      </w:pPr>
      <w:r>
        <w:rPr>
          <w:rFonts w:hint="default"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>Art.1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.- Pentru desfășurarea în bune condiții a alegeril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e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 xml:space="preserve">  Președintelui României din anul 20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>25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, se stabileşte locul special de afişaj electoral, după cum urmează:</w:t>
      </w:r>
    </w:p>
    <w:p w14:paraId="7D47A96F">
      <w:pPr>
        <w:pStyle w:val="13"/>
        <w:numPr>
          <w:ilvl w:val="0"/>
          <w:numId w:val="2"/>
        </w:numPr>
        <w:tabs>
          <w:tab w:val="left" w:pos="540"/>
        </w:tabs>
        <w:jc w:val="both"/>
        <w:rPr>
          <w:rFonts w:hint="default" w:ascii="Times New Roman" w:hAnsi="Times New Roman" w:cs="Times New Roman"/>
          <w:sz w:val="24"/>
          <w:szCs w:val="24"/>
          <w:lang w:val="hu-HU"/>
        </w:rPr>
      </w:pPr>
      <w:r>
        <w:rPr>
          <w:rFonts w:hint="default" w:ascii="Times New Roman" w:hAnsi="Times New Roman" w:cs="Times New Roman"/>
          <w:sz w:val="24"/>
          <w:szCs w:val="24"/>
          <w:lang w:val="hu-HU"/>
        </w:rPr>
        <w:t>la panoul de afișaj electoral amplasat din partea de dreapta la intrare a sediului Primăriei Mereşti</w:t>
      </w:r>
    </w:p>
    <w:p w14:paraId="07BE9262">
      <w:pPr>
        <w:jc w:val="both"/>
        <w:rPr>
          <w:rFonts w:hint="default" w:ascii="Times New Roman" w:hAnsi="Times New Roman" w:cs="Times New Roman"/>
          <w:sz w:val="24"/>
          <w:szCs w:val="24"/>
          <w:lang w:val="hu-HU"/>
        </w:rPr>
      </w:pPr>
      <w:r>
        <w:rPr>
          <w:rFonts w:hint="default"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>Art.2.-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Utilizarea locului special de afişaj electoral prevăzut la art. 1 este permisă partidelor politice, alianțelor politice, alianţelor electorale sau organizațiilor minorităților naționale care participă la  alegeri şi candidaţilor independenţi.</w:t>
      </w:r>
    </w:p>
    <w:p w14:paraId="08C0A2DB">
      <w:pPr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hu-H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>Art.3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.- Conform art. 41 alin (6) din Legea nr. 370/2004,</w:t>
      </w:r>
      <w:r>
        <w:rPr>
          <w:rFonts w:hint="default"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o-RO"/>
        </w:rPr>
        <w:t>p</w:t>
      </w:r>
      <w:r>
        <w:rPr>
          <w:rFonts w:hint="default" w:ascii="Open Sans" w:hAnsi="Open Sans" w:eastAsia="Open Sans" w:cs="Open Sans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 xml:space="preserve">e un panou electoral fiecare candidat poate aplica un singur afiş electoral. Un afiş electoral amplasat în locurile prevăzute la </w:t>
      </w:r>
      <w:r>
        <w:rPr>
          <w:rFonts w:hint="default" w:ascii="Open Sans" w:hAnsi="Open Sans" w:eastAsia="Open Sans" w:cs="Open Sans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o-RO"/>
        </w:rPr>
        <w:t>art.1</w:t>
      </w:r>
      <w:r>
        <w:rPr>
          <w:rFonts w:hint="default" w:ascii="Open Sans" w:hAnsi="Open Sans" w:eastAsia="Open Sans" w:cs="Open Sans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 xml:space="preserve"> nu poate depăşi dimensiunile de 500 mm o latură şi 300 mm cealaltă latură, iar cel prin care se convoacă o reuniune electorală, 400 mm o latură şi 250 mm cealaltă latură.</w:t>
      </w:r>
    </w:p>
    <w:p w14:paraId="21836589">
      <w:pPr>
        <w:jc w:val="both"/>
        <w:rPr>
          <w:rFonts w:hint="default" w:ascii="Times New Roman" w:hAnsi="Times New Roman" w:cs="Times New Roman"/>
          <w:sz w:val="24"/>
          <w:szCs w:val="24"/>
          <w:lang w:val="hu-H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 xml:space="preserve"> Art.4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>.- Dimensiunea afişajului electoral este 3 mp.</w:t>
      </w:r>
    </w:p>
    <w:p w14:paraId="1E0CC7CD">
      <w:pPr>
        <w:jc w:val="both"/>
        <w:rPr>
          <w:rFonts w:hint="default" w:ascii="Times New Roman" w:hAnsi="Times New Roman" w:cs="Times New Roman"/>
          <w:sz w:val="24"/>
          <w:szCs w:val="24"/>
          <w:lang w:val="hu-HU"/>
        </w:rPr>
      </w:pPr>
      <w:r>
        <w:rPr>
          <w:rFonts w:hint="default"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hu-HU"/>
        </w:rPr>
        <w:t>Art.5</w:t>
      </w:r>
      <w:r>
        <w:rPr>
          <w:rFonts w:hint="default" w:ascii="Times New Roman" w:hAnsi="Times New Roman" w:cs="Times New Roman"/>
          <w:sz w:val="24"/>
          <w:szCs w:val="24"/>
          <w:lang w:val="hu-HU"/>
        </w:rPr>
        <w:t xml:space="preserve">.- </w:t>
      </w:r>
      <w:r>
        <w:rPr>
          <w:rFonts w:hint="default" w:ascii="Times New Roman" w:hAnsi="Times New Roman" w:cs="Times New Roman"/>
          <w:sz w:val="24"/>
          <w:szCs w:val="24"/>
        </w:rPr>
        <w:t>Primarul, cu sprijinul organelor de ordine publică, este obligat să asigure integritatea panourilor, afişelor electorale şi a altor materiale de propagandă electorală amplasate în locuri autorizate.</w:t>
      </w:r>
    </w:p>
    <w:p w14:paraId="408ADADE">
      <w:pPr>
        <w:pStyle w:val="12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hint="default" w:ascii="Times New Roman" w:hAnsi="Times New Roman"/>
          <w:b/>
          <w:sz w:val="24"/>
          <w:szCs w:val="24"/>
          <w:lang w:val="ro-RO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Afişajul electoral este permis în alte locuri decât cele stabilite potrivit art. 1 numai cu acordul scris al proprietarilor sau, după caz, al deţinătorilor şi numai cu luarea măsurilor impuse de legislaţia în vigoare pentru asigurarea siguranţei cetăţenilor.</w:t>
      </w:r>
    </w:p>
    <w:p w14:paraId="29FB415B">
      <w:pPr>
        <w:pStyle w:val="1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hint="default" w:ascii="Times New Roman" w:hAnsi="Times New Roman"/>
          <w:b/>
          <w:sz w:val="24"/>
          <w:szCs w:val="24"/>
          <w:lang w:val="ro-RO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Cu aducere la îndeplinire a prezentei dispoziţii se însărcinează primarul comunei </w:t>
      </w:r>
      <w:r>
        <w:rPr>
          <w:rFonts w:ascii="Times New Roman" w:hAnsi="Times New Roman"/>
          <w:sz w:val="24"/>
          <w:szCs w:val="24"/>
          <w:lang w:val="ro-RO"/>
        </w:rPr>
        <w:t>Merești</w:t>
      </w:r>
      <w:r>
        <w:rPr>
          <w:rFonts w:ascii="Times New Roman" w:hAnsi="Times New Roman"/>
          <w:sz w:val="24"/>
          <w:szCs w:val="24"/>
        </w:rPr>
        <w:t>.</w:t>
      </w:r>
    </w:p>
    <w:p w14:paraId="2706F735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Art.</w:t>
      </w:r>
      <w:r>
        <w:rPr>
          <w:rFonts w:hint="default"/>
          <w:b/>
          <w:sz w:val="24"/>
          <w:szCs w:val="24"/>
          <w:lang w:val="ro-RO"/>
        </w:rPr>
        <w:t>8</w:t>
      </w:r>
      <w:r>
        <w:rPr>
          <w:sz w:val="24"/>
          <w:szCs w:val="24"/>
        </w:rPr>
        <w:t xml:space="preserve">. Împotriva prezentei dispoziţii se poate depune în termen de 30 zile  de la comunicare, plângere prealabilă adresată primarului Comunei </w:t>
      </w:r>
      <w:r>
        <w:rPr>
          <w:sz w:val="24"/>
          <w:szCs w:val="24"/>
          <w:lang w:val="ro-RO"/>
        </w:rPr>
        <w:t>Merești</w:t>
      </w:r>
      <w:r>
        <w:rPr>
          <w:sz w:val="24"/>
          <w:szCs w:val="24"/>
        </w:rPr>
        <w:t>.</w:t>
      </w:r>
    </w:p>
    <w:p w14:paraId="17C72D1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</w:t>
      </w:r>
      <w:r>
        <w:rPr>
          <w:rFonts w:hint="default"/>
          <w:b/>
          <w:sz w:val="24"/>
          <w:szCs w:val="24"/>
          <w:lang w:val="ro-RO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Prezenta dispoziție se comunică în mod obligatoriu primarul comunei </w:t>
      </w:r>
      <w:r>
        <w:rPr>
          <w:rFonts w:ascii="Times New Roman" w:hAnsi="Times New Roman"/>
          <w:sz w:val="24"/>
          <w:szCs w:val="24"/>
          <w:lang w:val="ro-RO"/>
        </w:rPr>
        <w:t>Merești</w:t>
      </w:r>
      <w:r>
        <w:rPr>
          <w:rFonts w:ascii="Times New Roman" w:hAnsi="Times New Roman"/>
          <w:sz w:val="24"/>
          <w:szCs w:val="24"/>
        </w:rPr>
        <w:t>, în termenul prevăzut de lege Instiţuţiei Prefectului Judeţul Harghita și se aduce la cunoştinţă publică prin afişarea la sediul Primăriei, în spaţiu accesibil publicului.</w:t>
      </w:r>
    </w:p>
    <w:p w14:paraId="4F195F36">
      <w:pPr>
        <w:ind w:firstLine="708"/>
        <w:contextualSpacing/>
        <w:jc w:val="both"/>
        <w:rPr>
          <w:sz w:val="24"/>
          <w:szCs w:val="24"/>
        </w:rPr>
      </w:pPr>
    </w:p>
    <w:p w14:paraId="668AAAD6">
      <w:pPr>
        <w:ind w:firstLine="708"/>
        <w:contextualSpacing/>
        <w:jc w:val="both"/>
        <w:rPr>
          <w:sz w:val="24"/>
          <w:szCs w:val="24"/>
        </w:rPr>
      </w:pPr>
    </w:p>
    <w:p w14:paraId="1B6679A1">
      <w:pPr>
        <w:jc w:val="both"/>
        <w:rPr>
          <w:b w:val="0"/>
          <w:bCs/>
          <w:sz w:val="24"/>
          <w:szCs w:val="24"/>
          <w:lang w:val="ro-RO"/>
        </w:rPr>
      </w:pPr>
      <w:bookmarkStart w:id="2" w:name="_GoBack"/>
      <w:r>
        <w:rPr>
          <w:b w:val="0"/>
          <w:bCs/>
          <w:sz w:val="24"/>
          <w:szCs w:val="24"/>
          <w:lang w:val="ro-RO"/>
        </w:rPr>
        <w:t>Merești 1</w:t>
      </w:r>
      <w:r>
        <w:rPr>
          <w:rFonts w:hint="default"/>
          <w:b w:val="0"/>
          <w:bCs/>
          <w:sz w:val="24"/>
          <w:szCs w:val="24"/>
          <w:lang w:val="ro-RO"/>
        </w:rPr>
        <w:t>9</w:t>
      </w:r>
      <w:r>
        <w:rPr>
          <w:b w:val="0"/>
          <w:bCs/>
          <w:sz w:val="24"/>
          <w:szCs w:val="24"/>
          <w:lang w:val="ro-RO"/>
        </w:rPr>
        <w:t xml:space="preserve"> martie 2025</w:t>
      </w:r>
    </w:p>
    <w:bookmarkEnd w:id="2"/>
    <w:p w14:paraId="30228B3A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</w:t>
      </w:r>
      <w:r>
        <w:rPr>
          <w:b/>
          <w:sz w:val="24"/>
          <w:szCs w:val="24"/>
          <w:lang w:val="ro-RO"/>
        </w:rPr>
        <w:tab/>
      </w:r>
    </w:p>
    <w:p w14:paraId="67F946F4">
      <w:pPr>
        <w:jc w:val="both"/>
        <w:rPr>
          <w:b/>
          <w:sz w:val="24"/>
          <w:szCs w:val="24"/>
          <w:lang w:val="ro-RO"/>
        </w:rPr>
      </w:pPr>
    </w:p>
    <w:p w14:paraId="5C2EA29D">
      <w:pPr>
        <w:jc w:val="both"/>
        <w:rPr>
          <w:b/>
          <w:sz w:val="24"/>
          <w:szCs w:val="24"/>
          <w:lang w:val="ro-RO"/>
        </w:rPr>
      </w:pPr>
    </w:p>
    <w:p w14:paraId="4554D5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                   </w:t>
      </w:r>
      <w:r>
        <w:rPr>
          <w:rFonts w:hint="default"/>
          <w:b/>
          <w:sz w:val="24"/>
          <w:szCs w:val="24"/>
          <w:lang w:val="hu-HU"/>
        </w:rPr>
        <w:tab/>
        <w:t xml:space="preserve">     </w:t>
      </w:r>
      <w:r>
        <w:rPr>
          <w:b/>
          <w:sz w:val="24"/>
          <w:szCs w:val="24"/>
        </w:rPr>
        <w:t>Contrasemnează pentru legalitate</w:t>
      </w:r>
    </w:p>
    <w:p w14:paraId="6285E831">
      <w:pPr>
        <w:jc w:val="both"/>
        <w:rPr>
          <w:b/>
          <w:caps/>
          <w:smallCaps w:val="0"/>
          <w:sz w:val="24"/>
          <w:szCs w:val="24"/>
        </w:rPr>
      </w:pPr>
      <w:r>
        <w:rPr>
          <w:b/>
          <w:sz w:val="24"/>
          <w:szCs w:val="24"/>
        </w:rPr>
        <w:t xml:space="preserve">      Primar,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aps/>
          <w:smallCaps w:val="0"/>
          <w:sz w:val="24"/>
          <w:szCs w:val="24"/>
        </w:rPr>
        <w:t>Secretar general al comunei,</w:t>
      </w:r>
    </w:p>
    <w:p w14:paraId="462987E0">
      <w:pPr>
        <w:jc w:val="both"/>
        <w:rPr>
          <w:rFonts w:hint="default"/>
          <w:b/>
          <w:sz w:val="24"/>
          <w:szCs w:val="24"/>
          <w:lang w:val="hu-HU"/>
        </w:rPr>
      </w:pPr>
      <w:r>
        <w:rPr>
          <w:rFonts w:hint="default"/>
          <w:b/>
          <w:sz w:val="24"/>
          <w:szCs w:val="24"/>
          <w:lang w:val="ro-RO"/>
        </w:rPr>
        <w:t xml:space="preserve">TIKOSI </w:t>
      </w:r>
      <w:r>
        <w:rPr>
          <w:rFonts w:hint="default"/>
          <w:b/>
          <w:sz w:val="24"/>
          <w:szCs w:val="24"/>
          <w:lang w:val="hu-HU"/>
        </w:rPr>
        <w:t>LÁSZLÓ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</w:t>
      </w:r>
      <w:r>
        <w:rPr>
          <w:rFonts w:hint="default"/>
          <w:b/>
          <w:sz w:val="24"/>
          <w:szCs w:val="24"/>
          <w:lang w:val="hu-HU"/>
        </w:rPr>
        <w:t>Golicza Gyöngyi</w:t>
      </w:r>
    </w:p>
    <w:p w14:paraId="424E81AE">
      <w:pPr>
        <w:suppressAutoHyphens w:val="0"/>
        <w:jc w:val="both"/>
        <w:rPr>
          <w:b/>
          <w:sz w:val="24"/>
          <w:szCs w:val="24"/>
          <w:lang w:val="ro-RO" w:eastAsia="hu-HU"/>
        </w:rPr>
      </w:pPr>
    </w:p>
    <w:p w14:paraId="58D1B9DD">
      <w:pPr>
        <w:suppressAutoHyphens w:val="0"/>
        <w:jc w:val="both"/>
        <w:rPr>
          <w:b/>
          <w:sz w:val="24"/>
          <w:szCs w:val="24"/>
          <w:lang w:val="ro-RO" w:eastAsia="hu-HU"/>
        </w:rPr>
      </w:pPr>
      <w:r>
        <w:rPr>
          <w:b/>
          <w:sz w:val="24"/>
          <w:szCs w:val="24"/>
          <w:lang w:val="ro-RO" w:eastAsia="hu-HU"/>
        </w:rPr>
        <w:tab/>
      </w:r>
    </w:p>
    <w:p w14:paraId="00D4425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headerReference r:id="rId5" w:type="default"/>
      <w:pgSz w:w="11906" w:h="16838"/>
      <w:pgMar w:top="567" w:right="1274" w:bottom="567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dobe Kaiti Std 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Sans Serif">
    <w:panose1 w:val="020B0604020202020204"/>
    <w:charset w:val="EE"/>
    <w:family w:val="swiss"/>
    <w:pitch w:val="default"/>
    <w:sig w:usb0="E1002AFF" w:usb1="C0000002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EAE94">
    <w:pPr>
      <w:pStyle w:val="7"/>
    </w:pPr>
  </w:p>
  <w:p w14:paraId="2DE51715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B82F7D"/>
    <w:multiLevelType w:val="multilevel"/>
    <w:tmpl w:val="22B82F7D"/>
    <w:lvl w:ilvl="0" w:tentative="0">
      <w:start w:val="1"/>
      <w:numFmt w:val="bullet"/>
      <w:lvlText w:val=""/>
      <w:lvlJc w:val="left"/>
      <w:pPr>
        <w:ind w:left="80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2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4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6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8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0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2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4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63" w:hanging="360"/>
      </w:pPr>
      <w:rPr>
        <w:rFonts w:hint="default" w:ascii="Wingdings" w:hAnsi="Wingdings"/>
      </w:rPr>
    </w:lvl>
  </w:abstractNum>
  <w:abstractNum w:abstractNumId="1">
    <w:nsid w:val="612231D7"/>
    <w:multiLevelType w:val="multilevel"/>
    <w:tmpl w:val="612231D7"/>
    <w:lvl w:ilvl="0" w:tentative="0">
      <w:start w:val="0"/>
      <w:numFmt w:val="bullet"/>
      <w:lvlText w:val="-"/>
      <w:lvlJc w:val="left"/>
      <w:pPr>
        <w:ind w:left="786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D9"/>
    <w:rsid w:val="00010169"/>
    <w:rsid w:val="000159F8"/>
    <w:rsid w:val="0002001A"/>
    <w:rsid w:val="00036E49"/>
    <w:rsid w:val="0004388A"/>
    <w:rsid w:val="0005495B"/>
    <w:rsid w:val="00057022"/>
    <w:rsid w:val="00080EF7"/>
    <w:rsid w:val="000849C0"/>
    <w:rsid w:val="00092839"/>
    <w:rsid w:val="000A4897"/>
    <w:rsid w:val="000B5FBC"/>
    <w:rsid w:val="000C5708"/>
    <w:rsid w:val="000D1DA6"/>
    <w:rsid w:val="000D2E5E"/>
    <w:rsid w:val="000E2659"/>
    <w:rsid w:val="000E6CCB"/>
    <w:rsid w:val="000E7B9A"/>
    <w:rsid w:val="000F4B2F"/>
    <w:rsid w:val="000F6A73"/>
    <w:rsid w:val="001006D6"/>
    <w:rsid w:val="00127601"/>
    <w:rsid w:val="001407B5"/>
    <w:rsid w:val="00170F33"/>
    <w:rsid w:val="001713FB"/>
    <w:rsid w:val="001B26D6"/>
    <w:rsid w:val="001B42F5"/>
    <w:rsid w:val="001C7A42"/>
    <w:rsid w:val="001E2BA1"/>
    <w:rsid w:val="001E348B"/>
    <w:rsid w:val="001F0CB7"/>
    <w:rsid w:val="00216A80"/>
    <w:rsid w:val="002275BD"/>
    <w:rsid w:val="0023362A"/>
    <w:rsid w:val="002943E5"/>
    <w:rsid w:val="0029523D"/>
    <w:rsid w:val="002A3570"/>
    <w:rsid w:val="002A35F9"/>
    <w:rsid w:val="002A5200"/>
    <w:rsid w:val="002B3297"/>
    <w:rsid w:val="002B3608"/>
    <w:rsid w:val="002C399C"/>
    <w:rsid w:val="002F0D7B"/>
    <w:rsid w:val="00331F3A"/>
    <w:rsid w:val="00333AEF"/>
    <w:rsid w:val="00337BCE"/>
    <w:rsid w:val="003431E4"/>
    <w:rsid w:val="003607C1"/>
    <w:rsid w:val="003813D0"/>
    <w:rsid w:val="00390C1E"/>
    <w:rsid w:val="003972FD"/>
    <w:rsid w:val="00397DBC"/>
    <w:rsid w:val="003B70FD"/>
    <w:rsid w:val="003D7519"/>
    <w:rsid w:val="003E5FEF"/>
    <w:rsid w:val="00406BF0"/>
    <w:rsid w:val="00452AA9"/>
    <w:rsid w:val="00452BBE"/>
    <w:rsid w:val="00467D68"/>
    <w:rsid w:val="00474BA7"/>
    <w:rsid w:val="004814DA"/>
    <w:rsid w:val="004A04AD"/>
    <w:rsid w:val="004A0B12"/>
    <w:rsid w:val="004B0C34"/>
    <w:rsid w:val="004D0D2B"/>
    <w:rsid w:val="004E0A1A"/>
    <w:rsid w:val="004E3669"/>
    <w:rsid w:val="004F6EDF"/>
    <w:rsid w:val="0050013A"/>
    <w:rsid w:val="0050617F"/>
    <w:rsid w:val="00554B25"/>
    <w:rsid w:val="00563A8D"/>
    <w:rsid w:val="0057139E"/>
    <w:rsid w:val="00585EC2"/>
    <w:rsid w:val="005B4A61"/>
    <w:rsid w:val="005C5C8A"/>
    <w:rsid w:val="005D2DD6"/>
    <w:rsid w:val="005D3EA3"/>
    <w:rsid w:val="005D743E"/>
    <w:rsid w:val="005E3DB6"/>
    <w:rsid w:val="005F0DFF"/>
    <w:rsid w:val="005F119E"/>
    <w:rsid w:val="005F448A"/>
    <w:rsid w:val="00644347"/>
    <w:rsid w:val="00666B0B"/>
    <w:rsid w:val="00671B9A"/>
    <w:rsid w:val="006751D4"/>
    <w:rsid w:val="00675E6E"/>
    <w:rsid w:val="00677BFE"/>
    <w:rsid w:val="006962F1"/>
    <w:rsid w:val="006A1B23"/>
    <w:rsid w:val="006D277D"/>
    <w:rsid w:val="006D52D6"/>
    <w:rsid w:val="006D76D7"/>
    <w:rsid w:val="006F5F96"/>
    <w:rsid w:val="00701E09"/>
    <w:rsid w:val="00712A70"/>
    <w:rsid w:val="007158B4"/>
    <w:rsid w:val="00726B21"/>
    <w:rsid w:val="00750AFD"/>
    <w:rsid w:val="00784481"/>
    <w:rsid w:val="007875B8"/>
    <w:rsid w:val="00790C55"/>
    <w:rsid w:val="007963FF"/>
    <w:rsid w:val="007964CD"/>
    <w:rsid w:val="007A0723"/>
    <w:rsid w:val="007A2776"/>
    <w:rsid w:val="007E308A"/>
    <w:rsid w:val="007F7872"/>
    <w:rsid w:val="00804633"/>
    <w:rsid w:val="00805BCF"/>
    <w:rsid w:val="00812DCA"/>
    <w:rsid w:val="00822A6A"/>
    <w:rsid w:val="00834F37"/>
    <w:rsid w:val="00856FB4"/>
    <w:rsid w:val="00880302"/>
    <w:rsid w:val="008902F4"/>
    <w:rsid w:val="00897523"/>
    <w:rsid w:val="008B513E"/>
    <w:rsid w:val="008C3778"/>
    <w:rsid w:val="008D48D9"/>
    <w:rsid w:val="008E5056"/>
    <w:rsid w:val="00904569"/>
    <w:rsid w:val="009367F6"/>
    <w:rsid w:val="0094453A"/>
    <w:rsid w:val="00961789"/>
    <w:rsid w:val="0097111E"/>
    <w:rsid w:val="00986B0B"/>
    <w:rsid w:val="009A219A"/>
    <w:rsid w:val="009A728B"/>
    <w:rsid w:val="009B59B5"/>
    <w:rsid w:val="009E1723"/>
    <w:rsid w:val="00A12C3F"/>
    <w:rsid w:val="00A14271"/>
    <w:rsid w:val="00A15EA2"/>
    <w:rsid w:val="00A21226"/>
    <w:rsid w:val="00A46874"/>
    <w:rsid w:val="00A50BFF"/>
    <w:rsid w:val="00A55042"/>
    <w:rsid w:val="00A679B5"/>
    <w:rsid w:val="00A72C63"/>
    <w:rsid w:val="00A9768D"/>
    <w:rsid w:val="00AC3663"/>
    <w:rsid w:val="00B2440E"/>
    <w:rsid w:val="00B3531A"/>
    <w:rsid w:val="00B41D70"/>
    <w:rsid w:val="00B4223A"/>
    <w:rsid w:val="00B43332"/>
    <w:rsid w:val="00B50F65"/>
    <w:rsid w:val="00B52AEA"/>
    <w:rsid w:val="00B604BE"/>
    <w:rsid w:val="00B80311"/>
    <w:rsid w:val="00B807FA"/>
    <w:rsid w:val="00BD4B2D"/>
    <w:rsid w:val="00BE5A76"/>
    <w:rsid w:val="00C00616"/>
    <w:rsid w:val="00C20866"/>
    <w:rsid w:val="00C300B9"/>
    <w:rsid w:val="00C3208C"/>
    <w:rsid w:val="00C43AB3"/>
    <w:rsid w:val="00C7307C"/>
    <w:rsid w:val="00C91F54"/>
    <w:rsid w:val="00CA0228"/>
    <w:rsid w:val="00CA1E6B"/>
    <w:rsid w:val="00CD0D2A"/>
    <w:rsid w:val="00CF1DD4"/>
    <w:rsid w:val="00CF5B5B"/>
    <w:rsid w:val="00D217CE"/>
    <w:rsid w:val="00D37BB2"/>
    <w:rsid w:val="00DA0898"/>
    <w:rsid w:val="00DB6C51"/>
    <w:rsid w:val="00DC167E"/>
    <w:rsid w:val="00DC71FB"/>
    <w:rsid w:val="00DD3918"/>
    <w:rsid w:val="00DE457D"/>
    <w:rsid w:val="00E40936"/>
    <w:rsid w:val="00E53926"/>
    <w:rsid w:val="00E62289"/>
    <w:rsid w:val="00E67C1C"/>
    <w:rsid w:val="00E95490"/>
    <w:rsid w:val="00EE09BE"/>
    <w:rsid w:val="00EF6DC1"/>
    <w:rsid w:val="00F01171"/>
    <w:rsid w:val="00F0148A"/>
    <w:rsid w:val="00F0586E"/>
    <w:rsid w:val="00F128B2"/>
    <w:rsid w:val="00F262C7"/>
    <w:rsid w:val="00F446CB"/>
    <w:rsid w:val="00F45481"/>
    <w:rsid w:val="00F50271"/>
    <w:rsid w:val="00F6185D"/>
    <w:rsid w:val="00FB00F6"/>
    <w:rsid w:val="00FB0C8C"/>
    <w:rsid w:val="00FB1472"/>
    <w:rsid w:val="00FB2A4F"/>
    <w:rsid w:val="00FC59A4"/>
    <w:rsid w:val="3740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u-HU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uppressAutoHyphens w:val="0"/>
      <w:jc w:val="center"/>
      <w:outlineLvl w:val="0"/>
    </w:pPr>
    <w:rPr>
      <w:sz w:val="36"/>
      <w:szCs w:val="24"/>
      <w:lang w:val="en-US" w:eastAsia="hu-HU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</w:style>
  <w:style w:type="paragraph" w:styleId="6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0"/>
    <w:unhideWhenUsed/>
    <w:qFormat/>
    <w:uiPriority w:val="0"/>
    <w:pPr>
      <w:tabs>
        <w:tab w:val="center" w:pos="4536"/>
        <w:tab w:val="right" w:pos="9072"/>
      </w:tabs>
    </w:pPr>
  </w:style>
  <w:style w:type="character" w:styleId="8">
    <w:name w:val="Hyperlink"/>
    <w:basedOn w:val="3"/>
    <w:qFormat/>
    <w:uiPriority w:val="0"/>
    <w:rPr>
      <w:color w:val="0000FF"/>
      <w:u w:val="single"/>
    </w:rPr>
  </w:style>
  <w:style w:type="table" w:styleId="9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Élőfej Char"/>
    <w:basedOn w:val="3"/>
    <w:link w:val="7"/>
    <w:qFormat/>
    <w:uiPriority w:val="0"/>
    <w:rPr>
      <w:rFonts w:ascii="Times New Roman" w:hAnsi="Times New Roman" w:eastAsia="Times New Roman" w:cs="Times New Roman"/>
      <w:sz w:val="20"/>
      <w:szCs w:val="20"/>
      <w:lang w:val="hu-HU" w:eastAsia="zh-CN"/>
    </w:rPr>
  </w:style>
  <w:style w:type="character" w:customStyle="1" w:styleId="11">
    <w:name w:val="Élőláb Char"/>
    <w:basedOn w:val="3"/>
    <w:link w:val="6"/>
    <w:qFormat/>
    <w:uiPriority w:val="99"/>
    <w:rPr>
      <w:rFonts w:ascii="Times New Roman" w:hAnsi="Times New Roman" w:eastAsia="Times New Roman" w:cs="Times New Roman"/>
      <w:sz w:val="20"/>
      <w:szCs w:val="20"/>
      <w:lang w:val="hu-HU" w:eastAsia="zh-CN"/>
    </w:rPr>
  </w:style>
  <w:style w:type="paragraph" w:styleId="12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o-RO" w:eastAsia="en-US" w:bidi="ar-SA"/>
    </w:rPr>
  </w:style>
  <w:style w:type="paragraph" w:styleId="13">
    <w:name w:val="List Paragraph"/>
    <w:basedOn w:val="1"/>
    <w:qFormat/>
    <w:uiPriority w:val="34"/>
    <w:pPr>
      <w:suppressAutoHyphens w:val="0"/>
      <w:ind w:left="720"/>
      <w:contextualSpacing/>
    </w:pPr>
    <w:rPr>
      <w:sz w:val="24"/>
      <w:szCs w:val="24"/>
      <w:lang w:eastAsia="hu-HU"/>
    </w:rPr>
  </w:style>
  <w:style w:type="character" w:customStyle="1" w:styleId="14">
    <w:name w:val="Címsor 1 Char"/>
    <w:basedOn w:val="3"/>
    <w:link w:val="2"/>
    <w:qFormat/>
    <w:uiPriority w:val="0"/>
    <w:rPr>
      <w:rFonts w:ascii="Times New Roman" w:hAnsi="Times New Roman" w:eastAsia="Times New Roman" w:cs="Times New Roman"/>
      <w:sz w:val="36"/>
      <w:szCs w:val="24"/>
      <w:lang w:val="en-US" w:eastAsia="hu-H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06D41-BEEF-4676-8913-F15F082F69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560</Words>
  <Characters>3869</Characters>
  <Lines>32</Lines>
  <Paragraphs>8</Paragraphs>
  <TotalTime>9</TotalTime>
  <ScaleCrop>false</ScaleCrop>
  <LinksUpToDate>false</LinksUpToDate>
  <CharactersWithSpaces>4421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2025-03-17T11:48:00Z</dcterms:created>
  <dc:creator>User</dc:creator>
  <cp:lastModifiedBy>Gyongyi</cp:lastModifiedBy>
  <cp:lastPrinted>2024-10-29T09:03:00Z</cp:lastPrinted>
  <dcterms:modified xsi:type="dcterms:W3CDTF">2025-04-04T09:19:06Z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8C185F5A4D4C4974B694A1826ABE9656_13</vt:lpwstr>
  </property>
</Properties>
</file>