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ACTE NECESARE LUARE ÎN EVIDENŢĂ IMOBIL DOBÂNDIT PRIN CONTRACT VÂNZARE CUMPĂRARE, DONAŢIE</w:t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  <w:t>Contract vânzare cumpărare, donație, întreținere, certificat moștenitor, sentință definitivă, după caz;</w:t>
        <w:br w:type="textWrapping"/>
        <w:t>Certificat de Performanță Energetică – pagina clasificare energetică;</w:t>
        <w:br w:type="textWrapping"/>
        <w:t>Copie extras CF în anumite cazuri;</w:t>
        <w:br w:type="textWrapping"/>
        <w:t>Declarație;</w:t>
        <w:br w:type="textWrapping"/>
        <w:t>Declarație specială în cazul deținerii mai multor proprietăți pentru clădirile dobândite înainte de 30 noiembrie 2015;</w:t>
        <w:br w:type="textWrapping"/>
        <w:t>ANEXA la declarația fiscală pentru stabilirea impozitului pe clădiri - persoane fizice nerezidente;</w:t>
        <w:br w:type="textWrapping"/>
        <w:t>În cazul dobândirii unui imobil de la o societate comercială se depune și planul construcției pe fiecare nivel;</w:t>
        <w:br w:type="textWrapping"/>
        <w:t>Pentru clădirile nerezidențiale: raport de evaluare mai nou de 5 ani sau contract de vânzare cumpărare sau autorizație de construire după caz;</w:t>
        <w:br w:type="textWrapping"/>
        <w:t>Notă de Informare privind prelucrarea datelor cu caracter personal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52124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2020-05-15T05:37:22Z</dcterms:created>
  <dcterms:modified xsi:type="dcterms:W3CDTF">2020-05-15T05:40:44Z</dcterms:modified>
</cp:coreProperties>
</file>